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ON-CALL POLICY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is intended to establish the process for [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Name]’s casual employees who take on-call shifts for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SCOPE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applies to employees who are defined as “casual” as per their employment contract and their conditions of work.                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POLICY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Casual employees may take up to two shifts per month.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Shifts are made available for casual employees via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how employees know about available shifts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may contact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person the employee contacts if they will be taking the shift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Shifts are allocated on a first come, first served basis; however, casual employees are required to have the necessary skills and abilities to fulfil the necessary job duties of the shift needing to be filled.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After 24 Hours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Should a shift be posted for longer than 24 hours without being claimed by another casual employee, a casual employee who has already taken two shifts that month is able to pick up the shift.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Note that taking on additional shifts is in no way a change to an employee’s casual status or employment category. Picking up shifts does not entitle an employee to subsequent available shifts.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unlikely event that an employee will incur overtime by picking up a shift (overtime is defined as over 44 hours weekly as per Ontario’s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Employment Standards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), the employee is required to inform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(Insert Person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prior to them accepting the shift. 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Procedures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any additional details re. the process for completing on-call shifts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shifts must be approved by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POSITION/TITLE]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0frX7NhRw1bZyldTlcK6KBNrGQ==">AMUW2mWGp2jmEPJnpAsQKbdpYCHOKDD7DA++XvERC65UmfbiEhhv79d2+Nm3HW73R5FyGwVbDocDvcHvWzG2lqJKeyGbnTwcUdFGuxZZRMmW1CkKcr2O5vcat+x7Mu83NDjrsy+T8W6+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